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F67B" w14:textId="77777777" w:rsidR="00363A60" w:rsidRDefault="00363A60" w:rsidP="00363A60">
      <w:pPr>
        <w:tabs>
          <w:tab w:val="left" w:pos="6379"/>
        </w:tabs>
        <w:ind w:left="-426" w:right="-290"/>
        <w:jc w:val="center"/>
        <w:rPr>
          <w:b/>
          <w:sz w:val="36"/>
          <w:szCs w:val="36"/>
        </w:rPr>
      </w:pPr>
    </w:p>
    <w:p w14:paraId="51C95E31" w14:textId="0469DBF5" w:rsidR="00363A60" w:rsidRPr="00363A60" w:rsidRDefault="00363A60" w:rsidP="00363A60">
      <w:pPr>
        <w:tabs>
          <w:tab w:val="left" w:pos="6379"/>
        </w:tabs>
        <w:ind w:left="-426" w:right="-290"/>
        <w:jc w:val="center"/>
        <w:rPr>
          <w:rFonts w:ascii="Century Gothic" w:hAnsi="Century Gothic"/>
          <w:b/>
          <w:sz w:val="18"/>
          <w:szCs w:val="18"/>
        </w:rPr>
      </w:pPr>
      <w:r>
        <w:rPr>
          <w:b/>
          <w:sz w:val="36"/>
          <w:szCs w:val="36"/>
        </w:rPr>
        <w:t>Lancement</w:t>
      </w:r>
      <w:r w:rsidRPr="00680495">
        <w:rPr>
          <w:b/>
          <w:sz w:val="36"/>
          <w:szCs w:val="36"/>
        </w:rPr>
        <w:t xml:space="preserve"> des travaux de rénovation </w:t>
      </w:r>
      <w:r>
        <w:rPr>
          <w:b/>
          <w:sz w:val="36"/>
          <w:szCs w:val="36"/>
        </w:rPr>
        <w:br/>
      </w:r>
      <w:r w:rsidRPr="00680495">
        <w:rPr>
          <w:b/>
          <w:sz w:val="36"/>
          <w:szCs w:val="36"/>
        </w:rPr>
        <w:t>du Pavillon Henri Chrétien</w:t>
      </w:r>
    </w:p>
    <w:p w14:paraId="352F62BB" w14:textId="1251EB1A" w:rsidR="00363A60" w:rsidRPr="00363A60" w:rsidRDefault="00363A60" w:rsidP="00363A60">
      <w:pPr>
        <w:pStyle w:val="NormalWeb"/>
        <w:jc w:val="both"/>
        <w:rPr>
          <w:rFonts w:ascii="Arial" w:hAnsi="Arial" w:cs="Arial"/>
          <w:b/>
          <w:bCs/>
          <w:i/>
          <w:iCs/>
        </w:rPr>
      </w:pPr>
      <w:r w:rsidRPr="00363A60">
        <w:rPr>
          <w:rFonts w:ascii="Arial" w:hAnsi="Arial" w:cs="Arial"/>
          <w:b/>
          <w:bCs/>
          <w:i/>
          <w:iCs/>
        </w:rPr>
        <w:t xml:space="preserve">L’Observatoire de la Côte d’Azur, Université Côte d’Azur, </w:t>
      </w:r>
      <w:r w:rsidRPr="00363A60">
        <w:rPr>
          <w:rStyle w:val="styleddonationvalue-sc-b27jig-3"/>
          <w:rFonts w:ascii="Arial" w:hAnsi="Arial" w:cs="Arial"/>
          <w:b/>
          <w:bCs/>
          <w:i/>
          <w:iCs/>
        </w:rPr>
        <w:t>la Fondation Crédit Agricole Pays de France et la Fondation d’Entreprise Crédit Agricole Provence Côte d’Azur sont heureux de vous convier au lancement officiel des travaux de rénovation du Pavillon Henri Chrétien, le mardi 26 avril à 14 h 30, sur le site du Mont-Gros de l’Observatoire, boulevard de l’Observatoire, 06300 Nice.</w:t>
      </w:r>
      <w:r w:rsidR="00230659">
        <w:rPr>
          <w:rStyle w:val="styleddonationvalue-sc-b27jig-3"/>
          <w:rFonts w:ascii="Arial" w:hAnsi="Arial" w:cs="Arial"/>
          <w:b/>
          <w:bCs/>
          <w:i/>
          <w:iCs/>
        </w:rPr>
        <w:t xml:space="preserve">  </w:t>
      </w:r>
    </w:p>
    <w:p w14:paraId="75EB6D1B" w14:textId="486B411E" w:rsidR="00363A60" w:rsidRPr="00363A60" w:rsidRDefault="00363A60" w:rsidP="00363A60">
      <w:pPr>
        <w:pStyle w:val="NormalWeb"/>
        <w:jc w:val="both"/>
        <w:rPr>
          <w:rFonts w:ascii="Times" w:hAnsi="Times"/>
          <w:sz w:val="22"/>
          <w:szCs w:val="22"/>
        </w:rPr>
      </w:pPr>
      <w:r w:rsidRPr="004A2868">
        <w:rPr>
          <w:sz w:val="22"/>
          <w:szCs w:val="22"/>
        </w:rPr>
        <w:t>La colline du Mont-Gros à Nice a</w:t>
      </w:r>
      <w:r>
        <w:rPr>
          <w:sz w:val="22"/>
          <w:szCs w:val="22"/>
        </w:rPr>
        <w:t>br</w:t>
      </w:r>
      <w:r w:rsidRPr="004A2868">
        <w:rPr>
          <w:sz w:val="22"/>
          <w:szCs w:val="22"/>
        </w:rPr>
        <w:t xml:space="preserve">ite un observatoire avec </w:t>
      </w:r>
      <w:r>
        <w:rPr>
          <w:sz w:val="22"/>
          <w:szCs w:val="22"/>
        </w:rPr>
        <w:t xml:space="preserve">de </w:t>
      </w:r>
      <w:r w:rsidRPr="004A2868">
        <w:rPr>
          <w:sz w:val="22"/>
          <w:szCs w:val="22"/>
        </w:rPr>
        <w:t xml:space="preserve">nombreux instruments et édifices dont le Pavillon Henri Chrétien. Construit entre 1883 et 1887 par Charles Garnier, célèbre architecte de l’Opéra de Paris, ce grand bâtiment, composé en trois corps </w:t>
      </w:r>
      <w:r w:rsidRPr="00363A60">
        <w:rPr>
          <w:rFonts w:ascii="Times" w:hAnsi="Times"/>
          <w:sz w:val="22"/>
          <w:szCs w:val="22"/>
        </w:rPr>
        <w:t>au-dessous de la Grande Coupole, accueille des chercheurs en astrophysique et astronomie ainsi que la bibliothèque scientifique. Celle-ci conserve une collection de documents et de livres datant de la fin du 19</w:t>
      </w:r>
      <w:r w:rsidRPr="00363A60">
        <w:rPr>
          <w:rFonts w:ascii="Times" w:hAnsi="Times"/>
          <w:sz w:val="22"/>
          <w:szCs w:val="22"/>
          <w:vertAlign w:val="superscript"/>
        </w:rPr>
        <w:t xml:space="preserve">éme </w:t>
      </w:r>
      <w:r w:rsidRPr="00363A60">
        <w:rPr>
          <w:rFonts w:ascii="Times" w:hAnsi="Times"/>
          <w:sz w:val="22"/>
          <w:szCs w:val="22"/>
        </w:rPr>
        <w:t xml:space="preserve">siècle. </w:t>
      </w:r>
    </w:p>
    <w:p w14:paraId="63C5A875" w14:textId="77777777" w:rsidR="00363A60" w:rsidRPr="00363A60" w:rsidRDefault="00363A60" w:rsidP="00363A60">
      <w:pPr>
        <w:pStyle w:val="NormalWeb"/>
        <w:jc w:val="both"/>
        <w:rPr>
          <w:rFonts w:ascii="Times" w:hAnsi="Times"/>
          <w:sz w:val="22"/>
          <w:szCs w:val="22"/>
        </w:rPr>
      </w:pPr>
      <w:r w:rsidRPr="00363A60">
        <w:rPr>
          <w:rFonts w:ascii="Times" w:hAnsi="Times"/>
          <w:sz w:val="22"/>
          <w:szCs w:val="22"/>
        </w:rPr>
        <w:t>Le Pavillon Henri Chrétien, classé Monument Historique, présente des dégradations importantes et nécessite une rénovation afin de rendre aux chercheurs un outil de travail performant et sécurisé, tout en conservant un patrimoine architectural remarquable. En conséquence, l’Observatoire de la Côte d’Azur et Université Côte d’Azur se sont mobilisés pour la recherche de fonds pour financer ce projet de restauration.</w:t>
      </w:r>
    </w:p>
    <w:p w14:paraId="30DC6FE4" w14:textId="3463B132" w:rsidR="00363A60" w:rsidRPr="00363A60" w:rsidRDefault="00363A60" w:rsidP="00363A60">
      <w:pPr>
        <w:pStyle w:val="NormalWeb"/>
        <w:jc w:val="both"/>
        <w:rPr>
          <w:rStyle w:val="styleddonationvalue-sc-b27jig-3"/>
          <w:rFonts w:ascii="Times" w:hAnsi="Times"/>
          <w:sz w:val="22"/>
          <w:szCs w:val="22"/>
        </w:rPr>
      </w:pPr>
      <w:r w:rsidRPr="00363A60">
        <w:rPr>
          <w:rFonts w:ascii="Times" w:hAnsi="Times"/>
          <w:sz w:val="22"/>
          <w:szCs w:val="22"/>
        </w:rPr>
        <w:t xml:space="preserve">En septembre 2019, l’Observatoire de la Côte d’Azur signe une convention avec la Fondation du Patrimoine, dont le but est de trouver des financements publics et privés pour la sauvegarde du patrimoine français. La Fondation du Patrimoine met ainsi en place </w:t>
      </w:r>
      <w:hyperlink r:id="rId8" w:history="1">
        <w:r w:rsidRPr="00734AAB">
          <w:rPr>
            <w:rStyle w:val="Lienhypertexte"/>
            <w:rFonts w:ascii="Times" w:hAnsi="Times"/>
            <w:sz w:val="22"/>
            <w:szCs w:val="22"/>
          </w:rPr>
          <w:t>une souscription en ligne</w:t>
        </w:r>
      </w:hyperlink>
      <w:r w:rsidRPr="00363A60">
        <w:rPr>
          <w:rFonts w:ascii="Times" w:hAnsi="Times"/>
          <w:sz w:val="22"/>
          <w:szCs w:val="22"/>
        </w:rPr>
        <w:t xml:space="preserve"> qui a depuis récolté </w:t>
      </w:r>
      <w:r w:rsidRPr="00363A60">
        <w:rPr>
          <w:rStyle w:val="styleddonationvalue-sc-b27jig-3"/>
          <w:rFonts w:ascii="Times" w:hAnsi="Times"/>
          <w:sz w:val="22"/>
          <w:szCs w:val="22"/>
        </w:rPr>
        <w:t xml:space="preserve">17 255 euros de dons de la part d’entreprises et de particuliers. </w:t>
      </w:r>
    </w:p>
    <w:p w14:paraId="13BD3A13" w14:textId="77777777" w:rsidR="00363A60" w:rsidRPr="00363A60" w:rsidRDefault="00363A60" w:rsidP="00363A60">
      <w:pPr>
        <w:pStyle w:val="NormalWeb"/>
        <w:jc w:val="both"/>
        <w:rPr>
          <w:rStyle w:val="styleddonationvalue-sc-b27jig-3"/>
          <w:rFonts w:ascii="Times" w:hAnsi="Times"/>
          <w:sz w:val="22"/>
          <w:szCs w:val="22"/>
        </w:rPr>
      </w:pPr>
      <w:r w:rsidRPr="00363A60">
        <w:rPr>
          <w:rStyle w:val="styleddonationvalue-sc-b27jig-3"/>
          <w:rFonts w:ascii="Times" w:hAnsi="Times"/>
          <w:sz w:val="22"/>
          <w:szCs w:val="22"/>
        </w:rPr>
        <w:t xml:space="preserve">Les travaux de restauration du Pavillon Henri Chrétien dont le montant est évalué plus de 2 millions d’euros se fera en plusieurs phases dont la première a démarré en janvier 2022, notamment grâce au soutien de </w:t>
      </w:r>
      <w:r w:rsidRPr="00363A60">
        <w:rPr>
          <w:rStyle w:val="styleddonationvalue-sc-b27jig-3"/>
          <w:rFonts w:ascii="Times" w:hAnsi="Times"/>
          <w:bCs/>
          <w:sz w:val="22"/>
          <w:szCs w:val="22"/>
        </w:rPr>
        <w:t>la</w:t>
      </w:r>
      <w:r w:rsidRPr="00363A60">
        <w:rPr>
          <w:rStyle w:val="styleddonationvalue-sc-b27jig-3"/>
          <w:rFonts w:ascii="Times" w:hAnsi="Times"/>
          <w:b/>
          <w:bCs/>
          <w:sz w:val="22"/>
          <w:szCs w:val="22"/>
        </w:rPr>
        <w:t xml:space="preserve"> Fondation Crédit Agricole Pays de France </w:t>
      </w:r>
      <w:r w:rsidRPr="00363A60">
        <w:rPr>
          <w:rStyle w:val="styleddonationvalue-sc-b27jig-3"/>
          <w:rFonts w:ascii="Times" w:hAnsi="Times"/>
          <w:bCs/>
          <w:sz w:val="22"/>
          <w:szCs w:val="22"/>
        </w:rPr>
        <w:t>et de la</w:t>
      </w:r>
      <w:r w:rsidRPr="00363A60">
        <w:rPr>
          <w:rStyle w:val="styleddonationvalue-sc-b27jig-3"/>
          <w:rFonts w:ascii="Times" w:hAnsi="Times"/>
          <w:b/>
          <w:bCs/>
          <w:sz w:val="22"/>
          <w:szCs w:val="22"/>
        </w:rPr>
        <w:t xml:space="preserve"> Fondation d’Entreprise Crédit Agricole Provence Côte d’Azur</w:t>
      </w:r>
      <w:r w:rsidRPr="00363A60">
        <w:rPr>
          <w:rStyle w:val="styleddonationvalue-sc-b27jig-3"/>
          <w:rFonts w:ascii="Times" w:hAnsi="Times"/>
          <w:sz w:val="22"/>
          <w:szCs w:val="22"/>
        </w:rPr>
        <w:t>. Cette première série de travaux permet de réaliser, pour un montant total de 326 000 euros :</w:t>
      </w:r>
    </w:p>
    <w:p w14:paraId="5D699FE0" w14:textId="77777777" w:rsidR="00363A60" w:rsidRPr="00363A60" w:rsidRDefault="00363A60" w:rsidP="00363A60">
      <w:pPr>
        <w:pStyle w:val="NormalWeb"/>
        <w:numPr>
          <w:ilvl w:val="0"/>
          <w:numId w:val="1"/>
        </w:numPr>
        <w:jc w:val="both"/>
        <w:rPr>
          <w:rStyle w:val="styleddonationvalue-sc-b27jig-3"/>
          <w:rFonts w:ascii="Times" w:hAnsi="Times"/>
          <w:sz w:val="22"/>
          <w:szCs w:val="22"/>
        </w:rPr>
      </w:pPr>
      <w:r w:rsidRPr="00363A60">
        <w:rPr>
          <w:rStyle w:val="styleddonationvalue-sc-b27jig-3"/>
          <w:rFonts w:ascii="Times" w:hAnsi="Times"/>
          <w:sz w:val="22"/>
          <w:szCs w:val="22"/>
        </w:rPr>
        <w:t xml:space="preserve">La restauration des passerelles reliant les trois corps de bâtiment : étanchéité, maçonnerie, plafonds ; </w:t>
      </w:r>
    </w:p>
    <w:p w14:paraId="38273E53" w14:textId="77777777" w:rsidR="00363A60" w:rsidRPr="00363A60" w:rsidRDefault="00363A60" w:rsidP="00363A60">
      <w:pPr>
        <w:pStyle w:val="NormalWeb"/>
        <w:numPr>
          <w:ilvl w:val="0"/>
          <w:numId w:val="1"/>
        </w:numPr>
        <w:jc w:val="both"/>
        <w:rPr>
          <w:rStyle w:val="styleddonationvalue-sc-b27jig-3"/>
          <w:rFonts w:ascii="Times" w:hAnsi="Times"/>
          <w:sz w:val="22"/>
          <w:szCs w:val="22"/>
        </w:rPr>
      </w:pPr>
      <w:r w:rsidRPr="00363A60">
        <w:rPr>
          <w:rStyle w:val="styleddonationvalue-sc-b27jig-3"/>
          <w:rFonts w:ascii="Times" w:hAnsi="Times"/>
          <w:sz w:val="22"/>
          <w:szCs w:val="22"/>
        </w:rPr>
        <w:t xml:space="preserve">La rénovation totale des toitures bâtiments Nord et Sud : tuiles de Marseille, remplacement de l’isolation des combles ; reprise des maçonneries en façade, consolidation des deux têtes ornant la façade ; </w:t>
      </w:r>
    </w:p>
    <w:p w14:paraId="548EC9D9" w14:textId="77777777" w:rsidR="00363A60" w:rsidRPr="00363A60" w:rsidRDefault="00363A60" w:rsidP="00363A60">
      <w:pPr>
        <w:pStyle w:val="NormalWeb"/>
        <w:numPr>
          <w:ilvl w:val="0"/>
          <w:numId w:val="1"/>
        </w:numPr>
        <w:jc w:val="both"/>
        <w:rPr>
          <w:rStyle w:val="styleddonationvalue-sc-b27jig-3"/>
          <w:rFonts w:ascii="Times" w:hAnsi="Times"/>
          <w:sz w:val="22"/>
          <w:szCs w:val="22"/>
        </w:rPr>
      </w:pPr>
      <w:r w:rsidRPr="00363A60">
        <w:rPr>
          <w:rStyle w:val="styleddonationvalue-sc-b27jig-3"/>
          <w:rFonts w:ascii="Times" w:hAnsi="Times"/>
          <w:sz w:val="22"/>
          <w:szCs w:val="22"/>
        </w:rPr>
        <w:t>Le remplacement d’une porte bois et rénovation des portes d’accès aux passerelles.</w:t>
      </w:r>
    </w:p>
    <w:p w14:paraId="04E25F8E" w14:textId="4D04CBF3" w:rsidR="00363A60" w:rsidRPr="00363A60" w:rsidRDefault="00363A60" w:rsidP="00363A60">
      <w:pPr>
        <w:pStyle w:val="NormalWeb"/>
        <w:jc w:val="both"/>
        <w:rPr>
          <w:rStyle w:val="styleddonationvalue-sc-b27jig-3"/>
          <w:rFonts w:ascii="Times" w:hAnsi="Times"/>
          <w:sz w:val="22"/>
          <w:szCs w:val="22"/>
        </w:rPr>
      </w:pPr>
      <w:r w:rsidRPr="00363A60">
        <w:rPr>
          <w:rStyle w:val="styleddonationvalue-sc-b27jig-3"/>
          <w:rFonts w:ascii="Times" w:hAnsi="Times"/>
          <w:sz w:val="22"/>
          <w:szCs w:val="22"/>
        </w:rPr>
        <w:t xml:space="preserve">À fin de financer cette première partie de travaux, l’Observatoire de la Côte d’Azur </w:t>
      </w:r>
      <w:r>
        <w:rPr>
          <w:rStyle w:val="styleddonationvalue-sc-b27jig-3"/>
          <w:rFonts w:ascii="Times" w:hAnsi="Times"/>
          <w:sz w:val="22"/>
          <w:szCs w:val="22"/>
        </w:rPr>
        <w:t xml:space="preserve">a ainsi </w:t>
      </w:r>
      <w:r w:rsidRPr="00363A60">
        <w:rPr>
          <w:rStyle w:val="styleddonationvalue-sc-b27jig-3"/>
          <w:rFonts w:ascii="Times" w:hAnsi="Times"/>
          <w:sz w:val="22"/>
          <w:szCs w:val="22"/>
        </w:rPr>
        <w:t>sign</w:t>
      </w:r>
      <w:r>
        <w:rPr>
          <w:rStyle w:val="styleddonationvalue-sc-b27jig-3"/>
          <w:rFonts w:ascii="Times" w:hAnsi="Times"/>
          <w:sz w:val="22"/>
          <w:szCs w:val="22"/>
        </w:rPr>
        <w:t>é</w:t>
      </w:r>
      <w:r w:rsidRPr="00363A60">
        <w:rPr>
          <w:rStyle w:val="styleddonationvalue-sc-b27jig-3"/>
          <w:rFonts w:ascii="Times" w:hAnsi="Times"/>
          <w:sz w:val="22"/>
          <w:szCs w:val="22"/>
        </w:rPr>
        <w:t xml:space="preserve"> une convention avec </w:t>
      </w:r>
      <w:r w:rsidRPr="00363A60">
        <w:rPr>
          <w:rStyle w:val="styleddonationvalue-sc-b27jig-3"/>
          <w:rFonts w:ascii="Times" w:hAnsi="Times"/>
          <w:bCs/>
          <w:sz w:val="22"/>
          <w:szCs w:val="22"/>
        </w:rPr>
        <w:t>la</w:t>
      </w:r>
      <w:r w:rsidRPr="00363A60">
        <w:rPr>
          <w:rStyle w:val="styleddonationvalue-sc-b27jig-3"/>
          <w:rFonts w:ascii="Times" w:hAnsi="Times"/>
          <w:b/>
          <w:bCs/>
          <w:sz w:val="22"/>
          <w:szCs w:val="22"/>
        </w:rPr>
        <w:t xml:space="preserve"> Fondation Crédit Agricole Pays de France </w:t>
      </w:r>
      <w:r w:rsidRPr="00363A60">
        <w:rPr>
          <w:rStyle w:val="styleddonationvalue-sc-b27jig-3"/>
          <w:rFonts w:ascii="Times" w:hAnsi="Times"/>
          <w:bCs/>
          <w:sz w:val="22"/>
          <w:szCs w:val="22"/>
        </w:rPr>
        <w:t>et la</w:t>
      </w:r>
      <w:r w:rsidRPr="00363A60">
        <w:rPr>
          <w:rStyle w:val="styleddonationvalue-sc-b27jig-3"/>
          <w:rFonts w:ascii="Times" w:hAnsi="Times"/>
          <w:b/>
          <w:bCs/>
          <w:sz w:val="22"/>
          <w:szCs w:val="22"/>
        </w:rPr>
        <w:t xml:space="preserve"> Fondation d’Entreprise Crédit Agricole Provence Côte d’Azur</w:t>
      </w:r>
      <w:r w:rsidRPr="00363A60">
        <w:rPr>
          <w:rStyle w:val="styleddonationvalue-sc-b27jig-3"/>
          <w:rFonts w:ascii="Times" w:hAnsi="Times"/>
          <w:sz w:val="22"/>
          <w:szCs w:val="22"/>
        </w:rPr>
        <w:t>, qui s’engagent sur cette opération à hauteur de 40 000 euros.</w:t>
      </w:r>
    </w:p>
    <w:p w14:paraId="7B787644" w14:textId="4C11030B" w:rsidR="00363A60" w:rsidRDefault="00363A60" w:rsidP="00363A60">
      <w:pPr>
        <w:pStyle w:val="NormalWeb"/>
        <w:jc w:val="both"/>
        <w:rPr>
          <w:rStyle w:val="styleddonationvalue-sc-b27jig-3"/>
          <w:rFonts w:ascii="Times" w:hAnsi="Times"/>
          <w:sz w:val="22"/>
          <w:szCs w:val="22"/>
        </w:rPr>
      </w:pPr>
      <w:r w:rsidRPr="00363A60">
        <w:rPr>
          <w:rStyle w:val="styleddonationvalue-sc-b27jig-3"/>
          <w:rFonts w:ascii="Times" w:hAnsi="Times"/>
          <w:sz w:val="22"/>
          <w:szCs w:val="22"/>
        </w:rPr>
        <w:t>D’ores et déjà une deuxième phase de travaux est en préparation pour la fin de l’année 2022, toujours avec le soutien de mécènes et devrait permettre de redonner son lustre du passé à la bibliothèque du Pavillon Henri Chrétien.</w:t>
      </w:r>
    </w:p>
    <w:p w14:paraId="2D963AB7" w14:textId="77EC2355" w:rsidR="00D36ED4" w:rsidRPr="00363A60" w:rsidRDefault="00363A60" w:rsidP="00363A60">
      <w:pPr>
        <w:pStyle w:val="NormalWeb"/>
        <w:jc w:val="both"/>
        <w:rPr>
          <w:rFonts w:ascii="Times" w:hAnsi="Times"/>
          <w:b/>
          <w:bCs/>
          <w:i/>
          <w:iCs/>
        </w:rPr>
      </w:pPr>
      <w:r w:rsidRPr="00363A60">
        <w:rPr>
          <w:rStyle w:val="styleddonationvalue-sc-b27jig-3"/>
          <w:rFonts w:ascii="Times" w:hAnsi="Times"/>
          <w:b/>
          <w:bCs/>
          <w:i/>
          <w:iCs/>
        </w:rPr>
        <w:t xml:space="preserve">Contact : Marc </w:t>
      </w:r>
      <w:proofErr w:type="spellStart"/>
      <w:r w:rsidRPr="00363A60">
        <w:rPr>
          <w:rStyle w:val="styleddonationvalue-sc-b27jig-3"/>
          <w:rFonts w:ascii="Times" w:hAnsi="Times"/>
          <w:b/>
          <w:bCs/>
          <w:i/>
          <w:iCs/>
        </w:rPr>
        <w:t>Fulconis</w:t>
      </w:r>
      <w:proofErr w:type="spellEnd"/>
      <w:r w:rsidRPr="00363A60">
        <w:rPr>
          <w:rStyle w:val="styleddonationvalue-sc-b27jig-3"/>
          <w:rFonts w:ascii="Times" w:hAnsi="Times"/>
          <w:b/>
          <w:bCs/>
          <w:i/>
          <w:iCs/>
        </w:rPr>
        <w:t xml:space="preserve"> – 06 89 66 65 56 – marc.fulconis@oca.eu</w:t>
      </w:r>
    </w:p>
    <w:sectPr w:rsidR="00D36ED4" w:rsidRPr="00363A60" w:rsidSect="00D36ED4">
      <w:headerReference w:type="default" r:id="rId9"/>
      <w:footerReference w:type="default" r:id="rId10"/>
      <w:pgSz w:w="11900" w:h="16840"/>
      <w:pgMar w:top="1701" w:right="1418" w:bottom="172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7684" w14:textId="77777777" w:rsidR="009831FF" w:rsidRDefault="009831FF" w:rsidP="00A06B4A">
      <w:r>
        <w:separator/>
      </w:r>
    </w:p>
  </w:endnote>
  <w:endnote w:type="continuationSeparator" w:id="0">
    <w:p w14:paraId="1B20C747" w14:textId="77777777" w:rsidR="009831FF" w:rsidRDefault="009831FF" w:rsidP="00A0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DF0A" w14:textId="77777777" w:rsidR="00A06B4A" w:rsidRPr="007F1902" w:rsidRDefault="0095193B" w:rsidP="00A06B4A">
    <w:pPr>
      <w:pStyle w:val="Paragraphestandard"/>
      <w:jc w:val="center"/>
      <w:rPr>
        <w:rFonts w:ascii="Arial" w:hAnsi="Arial" w:cs="Arial"/>
        <w:color w:val="213162"/>
        <w:sz w:val="18"/>
        <w:szCs w:val="18"/>
      </w:rPr>
    </w:pPr>
    <w:r>
      <w:rPr>
        <w:rFonts w:ascii="Arial" w:hAnsi="Arial" w:cs="Arial"/>
        <w:color w:val="213162"/>
        <w:sz w:val="18"/>
        <w:szCs w:val="18"/>
      </w:rPr>
      <w:t>Observatoire de la Côte d’Azur</w:t>
    </w:r>
    <w:r w:rsidR="009241EA">
      <w:rPr>
        <w:rFonts w:ascii="Arial" w:hAnsi="Arial" w:cs="Arial"/>
        <w:color w:val="213162"/>
        <w:sz w:val="18"/>
        <w:szCs w:val="18"/>
      </w:rPr>
      <w:t xml:space="preserve"> </w:t>
    </w:r>
    <w:r w:rsidR="00D36ED4">
      <w:rPr>
        <w:rFonts w:ascii="Arial" w:hAnsi="Arial" w:cs="Arial"/>
        <w:color w:val="213162"/>
        <w:sz w:val="18"/>
        <w:szCs w:val="18"/>
      </w:rPr>
      <w:t>–</w:t>
    </w:r>
    <w:r w:rsidR="009241EA">
      <w:rPr>
        <w:rFonts w:ascii="Arial" w:hAnsi="Arial" w:cs="Arial"/>
        <w:color w:val="213162"/>
        <w:sz w:val="18"/>
        <w:szCs w:val="18"/>
      </w:rPr>
      <w:t xml:space="preserve"> </w:t>
    </w:r>
    <w:r w:rsidR="0026327C">
      <w:rPr>
        <w:rFonts w:ascii="Arial" w:hAnsi="Arial" w:cs="Arial"/>
        <w:color w:val="213162"/>
        <w:sz w:val="18"/>
        <w:szCs w:val="18"/>
      </w:rPr>
      <w:t>96</w:t>
    </w:r>
    <w:r w:rsidR="00D36ED4">
      <w:rPr>
        <w:rFonts w:ascii="Arial" w:hAnsi="Arial" w:cs="Arial"/>
        <w:color w:val="213162"/>
        <w:sz w:val="18"/>
        <w:szCs w:val="18"/>
      </w:rPr>
      <w:t>,</w:t>
    </w:r>
    <w:r w:rsidR="0026327C">
      <w:rPr>
        <w:rFonts w:ascii="Arial" w:hAnsi="Arial" w:cs="Arial"/>
        <w:color w:val="213162"/>
        <w:sz w:val="18"/>
        <w:szCs w:val="18"/>
      </w:rPr>
      <w:t xml:space="preserve"> </w:t>
    </w:r>
    <w:r w:rsidR="00D36ED4">
      <w:rPr>
        <w:rFonts w:ascii="Arial" w:hAnsi="Arial" w:cs="Arial"/>
        <w:color w:val="213162"/>
        <w:sz w:val="18"/>
        <w:szCs w:val="18"/>
      </w:rPr>
      <w:t>b</w:t>
    </w:r>
    <w:r w:rsidR="00A06B4A" w:rsidRPr="007F1902">
      <w:rPr>
        <w:rFonts w:ascii="Arial" w:hAnsi="Arial" w:cs="Arial"/>
        <w:color w:val="213162"/>
        <w:sz w:val="18"/>
        <w:szCs w:val="18"/>
      </w:rPr>
      <w:t>oulevard de l’Observatoire - CS 34229 - F06304 Nice Cedex 4</w:t>
    </w:r>
  </w:p>
  <w:p w14:paraId="720A8621" w14:textId="77777777" w:rsidR="00A06B4A" w:rsidRPr="007F1902" w:rsidRDefault="00A06B4A" w:rsidP="00A06B4A">
    <w:pPr>
      <w:pStyle w:val="Pieddepage"/>
      <w:jc w:val="center"/>
      <w:rPr>
        <w:rFonts w:ascii="Arial" w:hAnsi="Arial" w:cs="Arial"/>
        <w:color w:val="213162"/>
        <w:sz w:val="18"/>
        <w:szCs w:val="18"/>
      </w:rPr>
    </w:pPr>
    <w:r w:rsidRPr="007F1902">
      <w:rPr>
        <w:rFonts w:ascii="Arial" w:hAnsi="Arial" w:cs="Arial"/>
        <w:color w:val="213162"/>
        <w:sz w:val="18"/>
        <w:szCs w:val="18"/>
      </w:rPr>
      <w:t>www.oca.eu - @ObsCoteAzur</w:t>
    </w:r>
  </w:p>
  <w:p w14:paraId="18C897CD" w14:textId="77777777" w:rsidR="00A06B4A" w:rsidRDefault="007F1902" w:rsidP="00D36ED4">
    <w:pPr>
      <w:pStyle w:val="Pieddepage"/>
      <w:spacing w:before="120"/>
      <w:jc w:val="center"/>
      <w:rPr>
        <w:rFonts w:ascii="Arial" w:hAnsi="Arial" w:cs="Arial"/>
        <w:color w:val="213162"/>
        <w:sz w:val="20"/>
        <w:szCs w:val="20"/>
      </w:rPr>
    </w:pPr>
    <w:r w:rsidRPr="007F1902">
      <w:rPr>
        <w:rFonts w:ascii="Arial" w:hAnsi="Arial" w:cs="Arial"/>
        <w:noProof/>
        <w:color w:val="213162"/>
        <w:sz w:val="20"/>
        <w:szCs w:val="20"/>
        <w:lang w:eastAsia="fr-FR"/>
      </w:rPr>
      <w:drawing>
        <wp:anchor distT="0" distB="0" distL="114300" distR="114300" simplePos="0" relativeHeight="251659264" behindDoc="0" locked="0" layoutInCell="1" allowOverlap="1" wp14:anchorId="0DD4FECF" wp14:editId="3F401527">
          <wp:simplePos x="0" y="0"/>
          <wp:positionH relativeFrom="column">
            <wp:posOffset>2707640</wp:posOffset>
          </wp:positionH>
          <wp:positionV relativeFrom="paragraph">
            <wp:posOffset>46990</wp:posOffset>
          </wp:positionV>
          <wp:extent cx="345600" cy="97200"/>
          <wp:effectExtent l="0" t="0" r="0" b="444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5600" cy="97200"/>
                  </a:xfrm>
                  <a:prstGeom prst="rect">
                    <a:avLst/>
                  </a:prstGeom>
                </pic:spPr>
              </pic:pic>
            </a:graphicData>
          </a:graphic>
          <wp14:sizeRelH relativeFrom="margin">
            <wp14:pctWidth>0</wp14:pctWidth>
          </wp14:sizeRelH>
          <wp14:sizeRelV relativeFrom="margin">
            <wp14:pctHeight>0</wp14:pctHeight>
          </wp14:sizeRelV>
        </wp:anchor>
      </w:drawing>
    </w:r>
  </w:p>
  <w:p w14:paraId="62745808" w14:textId="77777777" w:rsidR="00D36ED4" w:rsidRPr="00A06B4A" w:rsidRDefault="00D36ED4" w:rsidP="00A06B4A">
    <w:pPr>
      <w:pStyle w:val="Pieddepag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D197" w14:textId="77777777" w:rsidR="009831FF" w:rsidRDefault="009831FF" w:rsidP="00A06B4A">
      <w:r>
        <w:separator/>
      </w:r>
    </w:p>
  </w:footnote>
  <w:footnote w:type="continuationSeparator" w:id="0">
    <w:p w14:paraId="554A10B5" w14:textId="77777777" w:rsidR="009831FF" w:rsidRDefault="009831FF" w:rsidP="00A0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F0E4" w14:textId="2381F325" w:rsidR="0095193B" w:rsidRPr="00363A60" w:rsidRDefault="00A04951" w:rsidP="0095193B">
    <w:pPr>
      <w:pStyle w:val="En-tte"/>
      <w:rPr>
        <w:rFonts w:ascii="Arial" w:hAnsi="Arial" w:cs="Arial"/>
        <w:b/>
        <w:bCs/>
        <w:sz w:val="22"/>
        <w:szCs w:val="22"/>
      </w:rPr>
    </w:pPr>
    <w:r>
      <w:rPr>
        <w:noProof/>
        <w:sz w:val="18"/>
        <w:lang w:eastAsia="fr-FR"/>
      </w:rPr>
      <w:drawing>
        <wp:anchor distT="0" distB="0" distL="114300" distR="114300" simplePos="0" relativeHeight="251660288" behindDoc="1" locked="0" layoutInCell="1" allowOverlap="1" wp14:anchorId="6820E493" wp14:editId="50EDD037">
          <wp:simplePos x="0" y="0"/>
          <wp:positionH relativeFrom="column">
            <wp:posOffset>637540</wp:posOffset>
          </wp:positionH>
          <wp:positionV relativeFrom="paragraph">
            <wp:posOffset>-88900</wp:posOffset>
          </wp:positionV>
          <wp:extent cx="1324800" cy="450000"/>
          <wp:effectExtent l="0" t="0" r="0" b="0"/>
          <wp:wrapTight wrapText="bothSides">
            <wp:wrapPolygon edited="0">
              <wp:start x="2278" y="0"/>
              <wp:lineTo x="0" y="3051"/>
              <wp:lineTo x="0" y="18915"/>
              <wp:lineTo x="1035" y="19525"/>
              <wp:lineTo x="19053" y="20746"/>
              <wp:lineTo x="20917" y="20746"/>
              <wp:lineTo x="21331" y="18915"/>
              <wp:lineTo x="21331" y="1831"/>
              <wp:lineTo x="3728" y="0"/>
              <wp:lineTo x="2278"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sionhorizontal-tiret.png"/>
                  <pic:cNvPicPr/>
                </pic:nvPicPr>
                <pic:blipFill>
                  <a:blip r:embed="rId1">
                    <a:extLst>
                      <a:ext uri="{28A0092B-C50C-407E-A947-70E740481C1C}">
                        <a14:useLocalDpi xmlns:a14="http://schemas.microsoft.com/office/drawing/2010/main" val="0"/>
                      </a:ext>
                    </a:extLst>
                  </a:blip>
                  <a:stretch>
                    <a:fillRect/>
                  </a:stretch>
                </pic:blipFill>
                <pic:spPr>
                  <a:xfrm>
                    <a:off x="0" y="0"/>
                    <a:ext cx="1324800" cy="45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4E59AEA3" wp14:editId="618D8931">
          <wp:simplePos x="0" y="0"/>
          <wp:positionH relativeFrom="column">
            <wp:posOffset>-298450</wp:posOffset>
          </wp:positionH>
          <wp:positionV relativeFrom="paragraph">
            <wp:posOffset>-175895</wp:posOffset>
          </wp:positionV>
          <wp:extent cx="755906" cy="664465"/>
          <wp:effectExtent l="0" t="0" r="635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06" cy="664465"/>
                  </a:xfrm>
                  <a:prstGeom prst="rect">
                    <a:avLst/>
                  </a:prstGeom>
                </pic:spPr>
              </pic:pic>
            </a:graphicData>
          </a:graphic>
          <wp14:sizeRelH relativeFrom="page">
            <wp14:pctWidth>0</wp14:pctWidth>
          </wp14:sizeRelH>
          <wp14:sizeRelV relativeFrom="page">
            <wp14:pctHeight>0</wp14:pctHeight>
          </wp14:sizeRelV>
        </wp:anchor>
      </w:drawing>
    </w:r>
    <w:r w:rsidR="00363A60">
      <w:rPr>
        <w:sz w:val="18"/>
      </w:rPr>
      <w:tab/>
    </w:r>
    <w:r w:rsidR="00363A60">
      <w:rPr>
        <w:sz w:val="18"/>
      </w:rPr>
      <w:tab/>
    </w:r>
    <w:r w:rsidR="00363A60" w:rsidRPr="00363A60">
      <w:rPr>
        <w:rFonts w:ascii="Arial" w:hAnsi="Arial" w:cs="Arial"/>
        <w:b/>
        <w:bCs/>
        <w:sz w:val="22"/>
        <w:szCs w:val="22"/>
      </w:rPr>
      <w:t>Communiqué de presse – 15 avril 2022</w:t>
    </w:r>
  </w:p>
  <w:p w14:paraId="3DC9564F" w14:textId="77777777" w:rsidR="00A06B4A" w:rsidRDefault="00A06B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F257B"/>
    <w:multiLevelType w:val="hybridMultilevel"/>
    <w:tmpl w:val="3A36A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573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B4A"/>
    <w:rsid w:val="000278B5"/>
    <w:rsid w:val="0010571F"/>
    <w:rsid w:val="001F0F6E"/>
    <w:rsid w:val="00230659"/>
    <w:rsid w:val="0026327C"/>
    <w:rsid w:val="002B09D8"/>
    <w:rsid w:val="002E1F8B"/>
    <w:rsid w:val="00363A60"/>
    <w:rsid w:val="00445B1A"/>
    <w:rsid w:val="00446907"/>
    <w:rsid w:val="004A2166"/>
    <w:rsid w:val="004B5969"/>
    <w:rsid w:val="0052767A"/>
    <w:rsid w:val="005539BD"/>
    <w:rsid w:val="00564AF3"/>
    <w:rsid w:val="005A3478"/>
    <w:rsid w:val="0067154B"/>
    <w:rsid w:val="00734AAB"/>
    <w:rsid w:val="007821BC"/>
    <w:rsid w:val="007C2235"/>
    <w:rsid w:val="007D25AB"/>
    <w:rsid w:val="007F1902"/>
    <w:rsid w:val="008115F6"/>
    <w:rsid w:val="00882E86"/>
    <w:rsid w:val="00893536"/>
    <w:rsid w:val="00897496"/>
    <w:rsid w:val="009241EA"/>
    <w:rsid w:val="0095193B"/>
    <w:rsid w:val="00953206"/>
    <w:rsid w:val="009831FF"/>
    <w:rsid w:val="009C67B8"/>
    <w:rsid w:val="009D013A"/>
    <w:rsid w:val="00A04951"/>
    <w:rsid w:val="00A06B4A"/>
    <w:rsid w:val="00AC694D"/>
    <w:rsid w:val="00B45270"/>
    <w:rsid w:val="00BA140A"/>
    <w:rsid w:val="00BA17B7"/>
    <w:rsid w:val="00CC7032"/>
    <w:rsid w:val="00D36ED4"/>
    <w:rsid w:val="00DB6233"/>
    <w:rsid w:val="00E846AD"/>
    <w:rsid w:val="00ED5B73"/>
    <w:rsid w:val="00F30EA4"/>
    <w:rsid w:val="00F366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52E7"/>
  <w15:chartTrackingRefBased/>
  <w15:docId w15:val="{143C8AC8-0BC4-8842-8B11-F84274F0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0A"/>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B4A"/>
    <w:pPr>
      <w:tabs>
        <w:tab w:val="center" w:pos="4536"/>
        <w:tab w:val="right" w:pos="9072"/>
      </w:tabs>
      <w:jc w:val="left"/>
    </w:pPr>
    <w:rPr>
      <w:rFonts w:asciiTheme="minorHAnsi" w:hAnsiTheme="minorHAnsi"/>
      <w:sz w:val="24"/>
    </w:rPr>
  </w:style>
  <w:style w:type="character" w:customStyle="1" w:styleId="En-tteCar">
    <w:name w:val="En-tête Car"/>
    <w:basedOn w:val="Policepardfaut"/>
    <w:link w:val="En-tte"/>
    <w:uiPriority w:val="99"/>
    <w:rsid w:val="00A06B4A"/>
  </w:style>
  <w:style w:type="paragraph" w:styleId="Pieddepage">
    <w:name w:val="footer"/>
    <w:basedOn w:val="Normal"/>
    <w:link w:val="PieddepageCar"/>
    <w:uiPriority w:val="99"/>
    <w:unhideWhenUsed/>
    <w:rsid w:val="00A06B4A"/>
    <w:pPr>
      <w:tabs>
        <w:tab w:val="center" w:pos="4536"/>
        <w:tab w:val="right" w:pos="9072"/>
      </w:tabs>
      <w:jc w:val="left"/>
    </w:pPr>
    <w:rPr>
      <w:rFonts w:asciiTheme="minorHAnsi" w:hAnsiTheme="minorHAnsi"/>
      <w:sz w:val="24"/>
    </w:rPr>
  </w:style>
  <w:style w:type="character" w:customStyle="1" w:styleId="PieddepageCar">
    <w:name w:val="Pied de page Car"/>
    <w:basedOn w:val="Policepardfaut"/>
    <w:link w:val="Pieddepage"/>
    <w:uiPriority w:val="99"/>
    <w:rsid w:val="00A06B4A"/>
  </w:style>
  <w:style w:type="paragraph" w:customStyle="1" w:styleId="Paragraphestandard">
    <w:name w:val="[Paragraphe standard]"/>
    <w:basedOn w:val="Normal"/>
    <w:uiPriority w:val="99"/>
    <w:rsid w:val="00A06B4A"/>
    <w:pPr>
      <w:autoSpaceDE w:val="0"/>
      <w:autoSpaceDN w:val="0"/>
      <w:adjustRightInd w:val="0"/>
      <w:spacing w:line="288" w:lineRule="auto"/>
      <w:jc w:val="left"/>
      <w:textAlignment w:val="center"/>
    </w:pPr>
    <w:rPr>
      <w:rFonts w:ascii="MinionPro-Regular" w:hAnsi="MinionPro-Regular" w:cs="MinionPro-Regular"/>
      <w:color w:val="000000"/>
      <w:sz w:val="24"/>
    </w:rPr>
  </w:style>
  <w:style w:type="paragraph" w:styleId="NormalWeb">
    <w:name w:val="Normal (Web)"/>
    <w:basedOn w:val="Normal"/>
    <w:uiPriority w:val="99"/>
    <w:unhideWhenUsed/>
    <w:rsid w:val="008115F6"/>
    <w:pPr>
      <w:spacing w:before="100" w:beforeAutospacing="1" w:after="100" w:afterAutospacing="1"/>
      <w:jc w:val="left"/>
    </w:pPr>
    <w:rPr>
      <w:rFonts w:ascii="Times New Roman" w:eastAsia="Times New Roman" w:hAnsi="Times New Roman" w:cs="Times New Roman"/>
      <w:sz w:val="24"/>
      <w:lang w:eastAsia="fr-FR"/>
    </w:rPr>
  </w:style>
  <w:style w:type="paragraph" w:styleId="Textedebulles">
    <w:name w:val="Balloon Text"/>
    <w:basedOn w:val="Normal"/>
    <w:link w:val="TextedebullesCar"/>
    <w:uiPriority w:val="99"/>
    <w:semiHidden/>
    <w:unhideWhenUsed/>
    <w:rsid w:val="0052767A"/>
    <w:pPr>
      <w:jc w:val="left"/>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2767A"/>
    <w:rPr>
      <w:rFonts w:ascii="Times New Roman" w:hAnsi="Times New Roman" w:cs="Times New Roman"/>
      <w:sz w:val="18"/>
      <w:szCs w:val="18"/>
    </w:rPr>
  </w:style>
  <w:style w:type="character" w:styleId="Lienhypertexte">
    <w:name w:val="Hyperlink"/>
    <w:basedOn w:val="Policepardfaut"/>
    <w:uiPriority w:val="99"/>
    <w:unhideWhenUsed/>
    <w:rsid w:val="00BA140A"/>
    <w:rPr>
      <w:color w:val="0563C1" w:themeColor="hyperlink"/>
      <w:u w:val="single"/>
    </w:rPr>
  </w:style>
  <w:style w:type="character" w:customStyle="1" w:styleId="styleddonationvalue-sc-b27jig-3">
    <w:name w:val="styled__donationvalue-sc-b27jig-3"/>
    <w:basedOn w:val="Policepardfaut"/>
    <w:rsid w:val="00363A60"/>
  </w:style>
  <w:style w:type="character" w:styleId="Mentionnonrsolue">
    <w:name w:val="Unresolved Mention"/>
    <w:basedOn w:val="Policepardfaut"/>
    <w:uiPriority w:val="99"/>
    <w:semiHidden/>
    <w:unhideWhenUsed/>
    <w:rsid w:val="0073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ation-patrimoine.org/les-projets/pavillon-henri-chretien-de-l-observatoire-de-la-cote-d-azur-a-n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C7A78-6E12-4A59-825D-8B94ADD3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 Fulconis</cp:lastModifiedBy>
  <cp:revision>2</cp:revision>
  <cp:lastPrinted>2020-01-31T16:37:00Z</cp:lastPrinted>
  <dcterms:created xsi:type="dcterms:W3CDTF">2022-04-15T12:11:00Z</dcterms:created>
  <dcterms:modified xsi:type="dcterms:W3CDTF">2022-04-15T12:11:00Z</dcterms:modified>
</cp:coreProperties>
</file>